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2015-000445 vom 26. Juli 2014</w:t>
      </w:r>
    </w:p>
    <w:p>
      <w:r>
        <w:t>Ag Regierungsrat, 2014-07-26, DE</w:t>
      </w:r>
    </w:p>
    <w:p>
      <w:r>
        <w:rPr>
          <w:b/>
        </w:rPr>
        <w:t xml:space="preserve">Quelle: </w:t>
      </w:r>
      <w:r>
        <w:t>https://mcp.opencaselaw.ch/entscheid/ag_regierungsrat_RRB Nr. 2015-000445</w:t>
      </w:r>
    </w:p>
    <w:p>
      <w:r>
        <w:t>FR: AG_REGIERUNGSRAT RRB Nr. 2015-000445 du 26 juillet 2014</w:t>
      </w:r>
    </w:p>
    <w:p>
      <w:r>
        <w:t>IT: AG_REGIERUNGSRAT RRB Nr. 2015-000445 del 26 luglio 2014</w:t>
      </w:r>
    </w:p>
    <w:p>
      <w:pPr>
        <w:pStyle w:val="Heading2"/>
      </w:pPr>
      <w:r>
        <w:t>Regeste</w:t>
      </w:r>
    </w:p>
    <w:p>
      <w:r>
        <w:t>Art. 8 Abs. 2 und 4 BV; Art. 8 Abs. 2 BehiG Niemand darf wegen einer Behinderung diskriminiert werden. Legasthenie und Dyslexie stellen Behinderungen dar. Menschen mit Behinderungen haben nach dem BehiG den Gemeinwesen gegenüber Anspruch darauf, dass die Prüfungsmodalitäten ihren behinderungsbedingten Bedürfnissen angepasst werden. Die Massnahmen des Nachteilsausgleichs für die Aufnahmeprüfung und jene für die Schulzeit BMS II dürfen unterschiedlich ausgestaltet sein. Für eine Aufnahme-oder Abschlussprüfung werden einer Kandidatin oder einem Kandidaten grosszügigere Massnahmen als Nachteilsausgleich gewährt als im schulischen Alltag.</w:t>
      </w:r>
    </w:p>
    <w:p>
      <w:pPr>
        <w:pStyle w:val="Heading2"/>
      </w:pPr>
      <w:r>
        <w:t>Erwägungen</w:t>
      </w:r>
    </w:p>
    <w:p>
      <w:r>
        <w:rPr>
          <w:b/>
        </w:rPr>
        <w:t>E. 2.1</w:t>
      </w:r>
    </w:p>
    <w:p>
      <w:r>
        <w:t>(…)</w:t>
      </w:r>
    </w:p>
    <w:p>
      <w:r>
        <w:rPr>
          <w:b/>
        </w:rPr>
        <w:t>E. 2.2</w:t>
      </w:r>
    </w:p>
    <w:p>
      <w:r>
        <w:t>(…) Für eine Aufnahme oder Abschlussprüfung werden einer Kandidatin oder einem Kandidaten grosszügigere Massnahmen als Nachteilsausgleich gewährt als im schulischen Alltag. Zum einen bringt eine einmalige grosse Prüfung wie die Aufnahme oder Ab schlussprüfung viel mehr Stress mit sich, weshalb grössere Zeitzu schläge und mehr Hilfsmittel gewährt werden können. Zum anderen</w:t>
      </w:r>
    </w:p>
    <w:p>
      <w:r>
        <w:t>können die grösseren Zeitzuschläge bei einer einmaligen Prüfung besser umgesetzt werden, da die Prüfung für den Beschwerdeführer "individuell" ausgestaltet werden kann. Auch die bei der Aufnahme prüfung eingesetzten Hilfsmittel können grosszügiger gewährt wer den, weil eine Person den Kandidaten kontrollieren kann, ob er bei spielsweise den Internetzugang tatsächlich nur für die Rechtschreibe prüfung benutzt. Wie das Bundesverwaltungsgericht zutreffend ausführte, ist zu prüfen, ob einer Kandidatin oder einem Kandidaten eine Prüfungs zeitverlängerung auch wirklich nützt. Gemäss Stundenplan der BMS II betragen fast alle Lektionen 90 Minuten. Eine Zeitverlängerung ist in der Tat während des Schulalltags in dem vom Beschwerdeführer beantragten Mass kaum umsetzbar. In Fach Mathematik sei der Zeit druck Teil der Aufgabenstellung hält der Konrektor der Berufsschule Aarau fest. Zu Recht führte er an, dass andere Maturandinnen und Maturanden ohne Nachteilsausgleich eine Rechtsungleichheit bean standen könnten, würde dem Beschwerdeführer ein Zeitzuschlag ge währt. Da dem Beschwerdeführer gewährt wird, dass die Lehrperso nen ihm die Fragen vorlesen, wird der Nachteil betreffend die Dys lexie ausgegliedert. Da die Rechtschreibung nicht bewertet wird, er fährt der Beschwerdeführer auch betreffend seiner Legasthenie keine Benachteiligung. Des Weiteren lässt sich die Auffassung der Vorinstanz rechtlich nicht beanstanden, dass der Beschwerdeführer mit seiner Wahl der technischen Berufsmaturitätsrichtung und Mathematik als Schwer punktfach keine zusätzlichen Erleichterungen erhalten dürfe. Der Be schwerdeführer absolviert die Berufsmaturität der technischen Rich tung. Diese Richtung ist mathematisch naturwissenschaftlich orien tiert und setzt ihren Schwerpunkt im Bereich des mathematischen Denkens und dessen Anwendung im naturwissenschaftlichen Bereich (vgl. Homepage der Berufsschule Aarau, Informationen). In diesen mathematisch naturwissenschaftlichen Fächern bekam er zu Recht nicht noch einen Zeitzuschlag. Der Besuch dieser Schule mit dieser Fachrichtung stellt höhere Anforderungen als der Besuch der vorangegangenen Schule. Der Beschwerdeführer muss wie die an deren Lernenden in der Lage sein, unter den ordentlichen Bedingun</w:t>
      </w:r>
    </w:p>
    <w:p>
      <w:r>
        <w:t>gen die Prüfungen des regulären Unterrichts in den naturwissen schaftlichen Fächern ablegen zu können, ohne die Gewährung eines Zeitzuschlags. Im Gegensatz zur Aufnahmeprüfung kann er sich für die Prüfungen genauestens vorbereiten, wird doch geprüft, ob er den behandelten Lernstoff begriffen hat. Daher stellt es keine Diskrimini erung dar, wenn er in den Fächern Mathematik, Chemie und Physik keine Zeitzuschläge erhält, die Fragen ihm jedoch vorgelesen werden und die Rechtschreibung nicht bewertet wird. Damit hat er die glei chen Chancen, die Prüfung zu bestehen, wie die anderen Lernenden. Die fachlichen Anforderungen sind trotz der Behinderung nicht herabzusetzen. Bereits bei der Nichtbewertung der Rechtschreibung im Fach Deutsch handelt es sich um einen Grenzfall, ob es sich nur um eine formale Anpassung handelt oder dies bereits eine inhaltliche Anpassung darstellt; diese wurde ihm jedoch gewährt. In den weite ren Sprachfächern wäre eine Nichtbewertung von Rechtschreibe fehlern eine zu weit gehende Massnahme, würde doch so das Lern ziel herabgesetzt, was nicht mehr als Nachteilsausgleich anzusehen wäre, anders als im Fach Geschichte, wo es um das Begreifen von historischen Zusammenhängen geht (vgl. auch Glockengiesser a.a.O., S.21). Zudem werden in den Sprachfächern Englisch und Französisch nicht nur schriftliche Prüfungen, sondern auch mündli che Prüfungen abgelegt, so dass sich die Zeugnisnote nicht nur aus den schriftlichen Arbeiten zusammensetzt. Und auch hier gilt, dass es bei den Prüfungen im Schulalltag um eine Lernkontrolle geht, ob der Beschwerdeführer den vermittelten Unterrichtsstoff umsetzen kann; deshalb ist ihm nicht mehr Zeit zu gewähren, als die Vorinstanz ihm eingeräumt hat. Wie auch bereits vorstehend erwähnt worden ist, ist im Schulalltag die Zeitverlängerung kaum praktikabel. Weiter ist anzufügen, dass der Beschwerdeführer gemäss Angaben des Konrek tors der Berufsschule Aarau die zur Verfügung stehende Prüfungszeit in mindestens zwei Fällen nicht ausgenutzt habe (vgl. …). Ebenfalls kann ihm kein Internetzugang gegeben werden; der Kontrollaufwand für eine Lehrperson, wäre unangemessen hoch. Der Zugang zu Win dows Word ist ausreichend für die Rechtschreibkontrolle.</w:t>
      </w:r>
    </w:p>
    <w:p>
      <w:r>
        <w:rPr>
          <w:b/>
        </w:rPr>
        <w:t>E. 2.3</w:t>
      </w:r>
    </w:p>
    <w:p>
      <w:r>
        <w:t>Die Schulleitung verfügt bei der Ausgestaltung des Nachteils ausgleichs über einen grossen Ermessensspielraum. (…). Mit den gewährten Massnahmen werden die behinderungsbe dingten Nachteile des Beschwerdeführers angemessen ausgeglichen und es liegt keine Diskriminierung vor. Die Vorinstanz hat ihr Er messen korrekt ausgeübt.</w:t>
      </w:r>
    </w:p>
    <w:p>
      <w:r>
        <w:rPr>
          <w:b/>
        </w:rPr>
        <w:t>E. 3.1</w:t>
      </w:r>
    </w:p>
    <w:p>
      <w:r>
        <w:t>Der Beschwerdeführer moniert, dass der Nachteilsausgleich im Schulzeugnis vermerkt werde. Diese Stigmatisierung widerspreche dem Behindertengleichstellungsrecht. (…)</w:t>
      </w:r>
    </w:p>
    <w:p>
      <w:r>
        <w:rPr>
          <w:b/>
        </w:rPr>
        <w:t>E. 3.2</w:t>
      </w:r>
    </w:p>
    <w:p>
      <w:r>
        <w:t>Wie der Konrektor in seiner Stellungnahme festhielt, werde der Nachteilsausgleich nur in den Schulzeugnissen, nicht aber im Matu ritätszeugnis erwähnt. In Art. 28 BMV fehlt der Hinweis auf einen allfälligen Vermerk über einen Nachteilsausgleich. Das Bundesver waltungsgericht hielt im Urteil vom 15. Juli 2008 fest, dass auf dem Notenblatt kein Vermerk betreffend Prüfungserleichterung einzutra gen sei (vgl. B 7914/2007, S. 18). Gemäss der Empfehlung Nummer</w:t>
      </w:r>
    </w:p>
    <w:p>
      <w:r>
        <w:rPr>
          <w:b/>
        </w:rPr>
        <w:t>E. 7</w:t>
      </w:r>
    </w:p>
    <w:p>
      <w:r>
        <w:t>der SBBK, verabschiedet am 17. September 2014, soll im eidge nössischen Berufsmaturitätszeugnis kein Vermerk zum Nachteils ausgleich angebracht werden. Insbesondere wenn die Schülerin oder der Schüler nur formelle Massnahmen in Form eines Nachteils ausgleichs erhält und keine Lernzielanpassungen erfolgen, soll auf einen Vermerk verzichtet werden (vgl. nebst SBBK auch Glocken giesser a.a.O., S. 21). Auch im Merkblatt über den Nachteilsaus gleich für Berufslernende mit Behinderungen oder Lern und Leis tungsschwierigkeiten des BKS wird ausgeführt, dass im Notenaus weis kein Vermerk betreffend Prüfungserleichterungen eingetragen werde. Aufgrund des Gesagten wird im Berufsmaturitätszeugnis kein Vermerk betreffend Nachteilsausgleich vorgenommen. Hingegen sind die Schulleitungen der Berufsschulen befugt, in den Schul zeugnissen am Ende des Semesters einen Vermerk zum Nachteilsaus gleich anzubringen. 4.</w:t>
      </w:r>
    </w:p>
    <w:p>
      <w:r>
        <w:t>Nach den obigen Erwägungen hält der angefochtene Entscheid einer rechtlichen Überprüfung stand. Auch hat die Vorinstanz ihr Er messen korrekt ausgeübt. Die Beschwerde ist vollumfänglich abzu weisen. Gemäss Art.10 BehiG sind die Verfahren nach Art.7 und Art.8 BehiG, d.h. die Verfahren, welche sich auf die Beseitigung oder Un terlassung einer echten oder vermeintlichen Benachteiligung bei der Inanspruchnahme von Aus und Weiterbildung durch ein Gemeinwe sen richten, unentgeltlich. Daher sind vorliegend keine Verfahrens kosten zu erheben.</w:t>
      </w:r>
    </w:p>
    <w:p>
      <w:r>
        <w:t>82 Art. 4 Abs. 1 lit. b PAVO Familienpflege Emotionale Bindungen und die Aufrechterhaltung gewohnter Strukturen können einen stärkeren Einfluss auf das Wohlbefinden und die Entwick lung der Kinder haben als die Grösse der Wohnung. Aus dem Entscheid des Departements Bildung, Kultur und Sport vom 1.Juli 2014, i.S. L. B. und T. P. gegen Gemeinderat T. (BKSREC 14.35). Aus den Erwägungen 1. a) Gemäss Art. 4 Abs. 1 lit. b der Verordnung über die Aufnahme von Pflegekindern (Pflegekinderverordnung, PAVO) vom 19. Okto ber 1977 (SR 211.222.338) benötigt eine Bewilligung, wer ein Kind während mehr als drei Monaten unentgeltlich in seinen Haushalt auf nehmen will (sog. Familienpflege). Die Bewilligung darf gemäss Art. 5 PAVO nur erteilt werden, wenn die Pflegeeltern und ihre Haus genossen nach Persönlichkeit, Gesundheit und erzieherischer Eig nung sowie nach den Wohnverhältnissen für gute Pflege, Erziehung und Ausbildung des Kindes Gewähr bieten und das Wohl anderer in der Pflegefamilie lebender Kinder nicht gefährdet wird. Dabei gilt indes nicht die bestmögliche Pflege als Massstab. Gerade wenn Ver wandte oder gute Bekannte nicht erwerbsmässig, sondern unent geltlich ein Kind betreuen, ist den konkreten Umständen erhöhte Be achtung zu schenken. Emotionale Bindungen (Nestgefühl) und die Aufrechterhaltung gewohnter Strukturen können einen stärkeren Ein fluss auf das Wohlbefinden und die Entwicklung der Kinder haben als die Grösse der Wohnung etc.. Solange das Kindeswohl nicht ge fährdet erscheint, sind somit im Rahmen der Familienpflege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